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FAC" w:rsidRPr="00EC5FAC" w:rsidRDefault="00EC5FAC" w:rsidP="00EC5FAC">
      <w:pPr>
        <w:jc w:val="both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EC5FAC">
        <w:rPr>
          <w:rFonts w:ascii="Arial" w:hAnsi="Arial" w:cs="Arial"/>
          <w:b/>
          <w:sz w:val="24"/>
          <w:szCs w:val="24"/>
          <w:lang w:val="en-US"/>
        </w:rPr>
        <w:t>Conteúdo</w:t>
      </w:r>
      <w:proofErr w:type="spellEnd"/>
      <w:r w:rsidRPr="00EC5FAC">
        <w:rPr>
          <w:rFonts w:ascii="Arial" w:hAnsi="Arial" w:cs="Arial"/>
          <w:b/>
          <w:sz w:val="24"/>
          <w:szCs w:val="24"/>
          <w:lang w:val="en-US"/>
        </w:rPr>
        <w:t xml:space="preserve"> da </w:t>
      </w:r>
      <w:proofErr w:type="spellStart"/>
      <w:r w:rsidRPr="00EC5FAC">
        <w:rPr>
          <w:rFonts w:ascii="Arial" w:hAnsi="Arial" w:cs="Arial"/>
          <w:b/>
          <w:sz w:val="24"/>
          <w:szCs w:val="24"/>
          <w:lang w:val="en-US"/>
        </w:rPr>
        <w:t>Propsta</w:t>
      </w:r>
      <w:proofErr w:type="spellEnd"/>
      <w:r w:rsidRPr="00EC5FAC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EC5FAC">
        <w:rPr>
          <w:rFonts w:ascii="Arial" w:hAnsi="Arial" w:cs="Arial"/>
          <w:b/>
          <w:sz w:val="24"/>
          <w:szCs w:val="24"/>
          <w:lang w:val="en-US"/>
        </w:rPr>
        <w:t>Técnica</w:t>
      </w:r>
      <w:proofErr w:type="spellEnd"/>
    </w:p>
    <w:p w:rsidR="00EC5FAC" w:rsidRPr="00EC5FAC" w:rsidRDefault="00EC5FAC" w:rsidP="00EC5FAC">
      <w:pPr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EC5FAC" w:rsidRPr="00EC5FAC" w:rsidRDefault="00EC5FAC" w:rsidP="00EC5FAC">
      <w:pPr>
        <w:pStyle w:val="Sumrio1"/>
        <w:jc w:val="both"/>
        <w:rPr>
          <w:rFonts w:ascii="Arial" w:eastAsiaTheme="minorEastAsia" w:hAnsi="Arial" w:cs="Arial"/>
          <w:noProof/>
          <w:sz w:val="24"/>
          <w:szCs w:val="24"/>
          <w:lang w:eastAsia="pt-BR"/>
        </w:rPr>
      </w:pPr>
      <w:r w:rsidRPr="00EC5FAC">
        <w:rPr>
          <w:rFonts w:ascii="Arial" w:hAnsi="Arial" w:cs="Arial"/>
          <w:sz w:val="24"/>
          <w:szCs w:val="24"/>
          <w:lang w:val="en-US"/>
        </w:rPr>
        <w:fldChar w:fldCharType="begin"/>
      </w:r>
      <w:r w:rsidRPr="00EC5FAC">
        <w:rPr>
          <w:rFonts w:ascii="Arial" w:hAnsi="Arial" w:cs="Arial"/>
          <w:sz w:val="24"/>
          <w:szCs w:val="24"/>
          <w:lang w:val="en-US"/>
        </w:rPr>
        <w:instrText xml:space="preserve"> TOC \o "1-3" \h \z \u </w:instrText>
      </w:r>
      <w:r w:rsidRPr="00EC5FAC">
        <w:rPr>
          <w:rFonts w:ascii="Arial" w:hAnsi="Arial" w:cs="Arial"/>
          <w:sz w:val="24"/>
          <w:szCs w:val="24"/>
          <w:lang w:val="en-US"/>
        </w:rPr>
        <w:fldChar w:fldCharType="separate"/>
      </w:r>
      <w:hyperlink w:anchor="_Toc482623301" w:history="1">
        <w:r w:rsidRPr="00EC5FAC">
          <w:rPr>
            <w:rStyle w:val="Hyperlink"/>
            <w:rFonts w:ascii="Arial" w:hAnsi="Arial" w:cs="Arial"/>
            <w:noProof/>
            <w:sz w:val="24"/>
            <w:szCs w:val="24"/>
          </w:rPr>
          <w:t>1 – Objetivo da Proposta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_Toc482623301 \h </w:instrTex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:rsidR="00EC5FAC" w:rsidRPr="00EC5FAC" w:rsidRDefault="00EC5FAC" w:rsidP="00EC5FAC">
      <w:pPr>
        <w:pStyle w:val="Sumrio1"/>
        <w:jc w:val="both"/>
        <w:rPr>
          <w:rFonts w:ascii="Arial" w:eastAsiaTheme="minorEastAsia" w:hAnsi="Arial" w:cs="Arial"/>
          <w:noProof/>
          <w:sz w:val="24"/>
          <w:szCs w:val="24"/>
          <w:lang w:eastAsia="pt-BR"/>
        </w:rPr>
      </w:pPr>
      <w:hyperlink w:anchor="_Toc482623302" w:history="1">
        <w:r w:rsidRPr="00EC5FAC">
          <w:rPr>
            <w:rStyle w:val="Hyperlink"/>
            <w:rFonts w:ascii="Arial" w:hAnsi="Arial" w:cs="Arial"/>
            <w:noProof/>
            <w:sz w:val="24"/>
            <w:szCs w:val="24"/>
          </w:rPr>
          <w:t>2 – O serviço Business Link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_Toc482623302 \h </w:instrTex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:rsidR="00EC5FAC" w:rsidRPr="00EC5FAC" w:rsidRDefault="00EC5FAC" w:rsidP="00EC5FAC">
      <w:pPr>
        <w:pStyle w:val="Sumrio2"/>
        <w:tabs>
          <w:tab w:val="right" w:pos="11048"/>
        </w:tabs>
        <w:ind w:left="0"/>
        <w:jc w:val="both"/>
        <w:rPr>
          <w:rFonts w:ascii="Arial" w:eastAsiaTheme="minorEastAsia" w:hAnsi="Arial" w:cs="Arial"/>
          <w:noProof/>
          <w:sz w:val="24"/>
          <w:szCs w:val="24"/>
          <w:lang w:eastAsia="pt-BR"/>
        </w:rPr>
      </w:pPr>
      <w:hyperlink w:anchor="_Toc482623303" w:history="1">
        <w:r w:rsidRPr="00EC5FAC">
          <w:rPr>
            <w:rStyle w:val="Hyperlink"/>
            <w:rFonts w:ascii="Arial" w:hAnsi="Arial" w:cs="Arial"/>
            <w:noProof/>
            <w:sz w:val="24"/>
            <w:szCs w:val="24"/>
          </w:rPr>
          <w:t>2.1 – Visão Geral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_Toc482623303 \h </w:instrTex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:rsidR="00EC5FAC" w:rsidRPr="00EC5FAC" w:rsidRDefault="00EC5FAC" w:rsidP="00EC5FAC">
      <w:pPr>
        <w:pStyle w:val="Sumrio2"/>
        <w:tabs>
          <w:tab w:val="right" w:pos="11048"/>
        </w:tabs>
        <w:ind w:left="0"/>
        <w:jc w:val="both"/>
        <w:rPr>
          <w:rFonts w:ascii="Arial" w:eastAsiaTheme="minorEastAsia" w:hAnsi="Arial" w:cs="Arial"/>
          <w:noProof/>
          <w:sz w:val="24"/>
          <w:szCs w:val="24"/>
          <w:lang w:eastAsia="pt-BR"/>
        </w:rPr>
      </w:pPr>
      <w:hyperlink w:anchor="_Toc482623304" w:history="1">
        <w:r w:rsidRPr="00EC5FAC">
          <w:rPr>
            <w:rStyle w:val="Hyperlink"/>
            <w:rFonts w:ascii="Arial" w:hAnsi="Arial" w:cs="Arial"/>
            <w:noProof/>
            <w:sz w:val="24"/>
            <w:szCs w:val="24"/>
          </w:rPr>
          <w:t>2.2 – Topologia Generica da Solução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_Toc482623304 \h </w:instrTex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:rsidR="00EC5FAC" w:rsidRPr="00EC5FAC" w:rsidRDefault="00EC5FAC" w:rsidP="00EC5FAC">
      <w:pPr>
        <w:pStyle w:val="Sumrio2"/>
        <w:tabs>
          <w:tab w:val="right" w:pos="11048"/>
        </w:tabs>
        <w:ind w:left="0"/>
        <w:jc w:val="both"/>
        <w:rPr>
          <w:rFonts w:ascii="Arial" w:eastAsiaTheme="minorEastAsia" w:hAnsi="Arial" w:cs="Arial"/>
          <w:noProof/>
          <w:sz w:val="24"/>
          <w:szCs w:val="24"/>
          <w:lang w:eastAsia="pt-BR"/>
        </w:rPr>
      </w:pPr>
      <w:hyperlink w:anchor="_Toc482623305" w:history="1">
        <w:r w:rsidRPr="00EC5FAC">
          <w:rPr>
            <w:rStyle w:val="Hyperlink"/>
            <w:rFonts w:ascii="Arial" w:hAnsi="Arial" w:cs="Arial"/>
            <w:noProof/>
            <w:sz w:val="24"/>
            <w:szCs w:val="24"/>
          </w:rPr>
          <w:t>2.3 – Aplicações Gerais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_Toc482623305 \h </w:instrTex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:rsidR="00EC5FAC" w:rsidRPr="00EC5FAC" w:rsidRDefault="00EC5FAC" w:rsidP="00EC5FAC">
      <w:pPr>
        <w:pStyle w:val="Sumrio2"/>
        <w:tabs>
          <w:tab w:val="right" w:pos="11048"/>
        </w:tabs>
        <w:ind w:left="0"/>
        <w:jc w:val="both"/>
        <w:rPr>
          <w:rFonts w:ascii="Arial" w:eastAsiaTheme="minorEastAsia" w:hAnsi="Arial" w:cs="Arial"/>
          <w:noProof/>
          <w:sz w:val="24"/>
          <w:szCs w:val="24"/>
          <w:lang w:eastAsia="pt-BR"/>
        </w:rPr>
      </w:pPr>
      <w:hyperlink w:anchor="_Toc482623306" w:history="1">
        <w:r w:rsidRPr="00EC5FAC">
          <w:rPr>
            <w:rStyle w:val="Hyperlink"/>
            <w:rFonts w:ascii="Arial" w:hAnsi="Arial" w:cs="Arial"/>
            <w:noProof/>
            <w:sz w:val="24"/>
            <w:szCs w:val="24"/>
          </w:rPr>
          <w:t>2.4 – Garantia de Desempenho e Topologia da Solução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_Toc482623306 \h </w:instrTex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Pr="00EC5FAC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:rsidR="00EC5FAC" w:rsidRPr="00EC5FAC" w:rsidRDefault="00EC5FAC" w:rsidP="00EC5FAC">
      <w:pPr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EC5FAC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EC5FAC" w:rsidRPr="00EC5FAC" w:rsidRDefault="00EC5FAC" w:rsidP="00EC5FAC">
      <w:pPr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EC5FAC" w:rsidRPr="00EC5FAC" w:rsidRDefault="00EC5FAC" w:rsidP="00EC5FAC">
      <w:pPr>
        <w:pStyle w:val="Ttulo1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b w:val="0"/>
          <w:sz w:val="24"/>
          <w:szCs w:val="24"/>
        </w:rPr>
        <w:br w:type="page"/>
      </w:r>
      <w:bookmarkStart w:id="0" w:name="_Toc482623301"/>
      <w:r w:rsidRPr="00EC5FAC">
        <w:rPr>
          <w:rFonts w:cs="Arial"/>
          <w:color w:val="000000"/>
          <w:sz w:val="24"/>
          <w:szCs w:val="24"/>
        </w:rPr>
        <w:t>1 –</w:t>
      </w:r>
      <w:r w:rsidRPr="00EC5FAC">
        <w:rPr>
          <w:rFonts w:cs="Arial"/>
          <w:b w:val="0"/>
          <w:sz w:val="24"/>
          <w:szCs w:val="24"/>
        </w:rPr>
        <w:t xml:space="preserve"> </w:t>
      </w:r>
      <w:r w:rsidRPr="00EC5FAC">
        <w:rPr>
          <w:rFonts w:cs="Arial"/>
          <w:color w:val="000000"/>
          <w:sz w:val="24"/>
          <w:szCs w:val="24"/>
        </w:rPr>
        <w:t>Objetivo da Proposta</w:t>
      </w:r>
      <w:bookmarkEnd w:id="0"/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 xml:space="preserve">Esta proposta compreende uma solução prestada com a qualidade CLARO, para a prestação de serviço de LINKS DE ACESSO A INTERNET SIMÉTRICOS, incluindo instalação, configuração, manutenção periódica e serviços de segurança, de acordo com as especificações, quantitativos e observações constantes no Termo de Referência. </w:t>
      </w:r>
    </w:p>
    <w:p w:rsidR="00EC5FAC" w:rsidRP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Ttulo1"/>
        <w:jc w:val="both"/>
        <w:rPr>
          <w:rFonts w:cs="Arial"/>
          <w:color w:val="000000"/>
          <w:sz w:val="24"/>
          <w:szCs w:val="24"/>
        </w:rPr>
      </w:pPr>
      <w:bookmarkStart w:id="1" w:name="_Toc482623302"/>
      <w:r w:rsidRPr="00EC5FAC">
        <w:rPr>
          <w:rFonts w:cs="Arial"/>
          <w:color w:val="000000"/>
          <w:sz w:val="24"/>
          <w:szCs w:val="24"/>
        </w:rPr>
        <w:t>2 – O serviço Business Link</w:t>
      </w:r>
      <w:bookmarkEnd w:id="1"/>
    </w:p>
    <w:p w:rsidR="00EC5FAC" w:rsidRP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Ttulo2"/>
        <w:rPr>
          <w:rFonts w:cs="Arial"/>
          <w:color w:val="000000"/>
          <w:szCs w:val="24"/>
        </w:rPr>
      </w:pPr>
      <w:bookmarkStart w:id="2" w:name="_Toc482623303"/>
      <w:r w:rsidRPr="00EC5FAC">
        <w:rPr>
          <w:rFonts w:cs="Arial"/>
          <w:color w:val="000000"/>
          <w:szCs w:val="24"/>
        </w:rPr>
        <w:t>2.1 – Visão Geral</w:t>
      </w:r>
      <w:bookmarkEnd w:id="2"/>
    </w:p>
    <w:p w:rsidR="00EC5FAC" w:rsidRP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 xml:space="preserve">O </w:t>
      </w:r>
      <w:r w:rsidRPr="00EC5FAC">
        <w:rPr>
          <w:rFonts w:cs="Arial"/>
          <w:b/>
          <w:color w:val="000000"/>
          <w:sz w:val="24"/>
          <w:szCs w:val="24"/>
        </w:rPr>
        <w:t xml:space="preserve">Business Link </w:t>
      </w:r>
      <w:proofErr w:type="spellStart"/>
      <w:r w:rsidRPr="00EC5FAC">
        <w:rPr>
          <w:rFonts w:cs="Arial"/>
          <w:b/>
          <w:color w:val="000000"/>
          <w:sz w:val="24"/>
          <w:szCs w:val="24"/>
        </w:rPr>
        <w:t>Direct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 da CLARO, é um serviço de fornecimento de conectividade IP - Internet </w:t>
      </w:r>
      <w:proofErr w:type="spellStart"/>
      <w:r w:rsidRPr="00EC5FAC">
        <w:rPr>
          <w:rFonts w:cs="Arial"/>
          <w:color w:val="000000"/>
          <w:sz w:val="24"/>
          <w:szCs w:val="24"/>
        </w:rPr>
        <w:t>Protocol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, que </w:t>
      </w:r>
      <w:proofErr w:type="gramStart"/>
      <w:r w:rsidRPr="00EC5FAC">
        <w:rPr>
          <w:rFonts w:cs="Arial"/>
          <w:color w:val="000000"/>
          <w:sz w:val="24"/>
          <w:szCs w:val="24"/>
        </w:rPr>
        <w:t>suporta  aplicações</w:t>
      </w:r>
      <w:proofErr w:type="gramEnd"/>
      <w:r w:rsidRPr="00EC5FAC">
        <w:rPr>
          <w:rFonts w:cs="Arial"/>
          <w:color w:val="000000"/>
          <w:sz w:val="24"/>
          <w:szCs w:val="24"/>
        </w:rPr>
        <w:t xml:space="preserve"> TCP/IP - </w:t>
      </w:r>
      <w:proofErr w:type="spellStart"/>
      <w:r w:rsidRPr="00EC5FAC">
        <w:rPr>
          <w:rFonts w:cs="Arial"/>
          <w:i/>
          <w:color w:val="000000"/>
          <w:sz w:val="24"/>
          <w:szCs w:val="24"/>
        </w:rPr>
        <w:t>Transmission</w:t>
      </w:r>
      <w:proofErr w:type="spellEnd"/>
      <w:r w:rsidRPr="00EC5FAC">
        <w:rPr>
          <w:rFonts w:cs="Arial"/>
          <w:i/>
          <w:color w:val="000000"/>
          <w:sz w:val="24"/>
          <w:szCs w:val="24"/>
        </w:rPr>
        <w:t xml:space="preserve"> </w:t>
      </w:r>
      <w:proofErr w:type="spellStart"/>
      <w:r w:rsidRPr="00EC5FAC">
        <w:rPr>
          <w:rFonts w:cs="Arial"/>
          <w:i/>
          <w:color w:val="000000"/>
          <w:sz w:val="24"/>
          <w:szCs w:val="24"/>
        </w:rPr>
        <w:t>Control</w:t>
      </w:r>
      <w:proofErr w:type="spellEnd"/>
      <w:r w:rsidRPr="00EC5FAC">
        <w:rPr>
          <w:rFonts w:cs="Arial"/>
          <w:i/>
          <w:color w:val="000000"/>
          <w:sz w:val="24"/>
          <w:szCs w:val="24"/>
        </w:rPr>
        <w:t xml:space="preserve"> </w:t>
      </w:r>
      <w:proofErr w:type="spellStart"/>
      <w:r w:rsidRPr="00EC5FAC">
        <w:rPr>
          <w:rFonts w:cs="Arial"/>
          <w:i/>
          <w:color w:val="000000"/>
          <w:sz w:val="24"/>
          <w:szCs w:val="24"/>
        </w:rPr>
        <w:t>Protocol</w:t>
      </w:r>
      <w:proofErr w:type="spellEnd"/>
      <w:r w:rsidRPr="00EC5FAC">
        <w:rPr>
          <w:rFonts w:cs="Arial"/>
          <w:i/>
          <w:color w:val="000000"/>
          <w:sz w:val="24"/>
          <w:szCs w:val="24"/>
        </w:rPr>
        <w:t xml:space="preserve"> / Internet </w:t>
      </w:r>
      <w:proofErr w:type="spellStart"/>
      <w:r w:rsidRPr="00EC5FAC">
        <w:rPr>
          <w:rFonts w:cs="Arial"/>
          <w:i/>
          <w:color w:val="000000"/>
          <w:sz w:val="24"/>
          <w:szCs w:val="24"/>
        </w:rPr>
        <w:t>Protocol</w:t>
      </w:r>
      <w:proofErr w:type="spellEnd"/>
      <w:r w:rsidRPr="00EC5FAC">
        <w:rPr>
          <w:rFonts w:cs="Arial"/>
          <w:i/>
          <w:color w:val="000000"/>
          <w:sz w:val="24"/>
          <w:szCs w:val="24"/>
        </w:rPr>
        <w:t xml:space="preserve"> </w:t>
      </w:r>
      <w:r w:rsidRPr="00EC5FAC">
        <w:rPr>
          <w:rFonts w:cs="Arial"/>
          <w:color w:val="000000"/>
          <w:sz w:val="24"/>
          <w:szCs w:val="24"/>
        </w:rPr>
        <w:t xml:space="preserve">, e provê o acesso à rede Internet mundial. Suportado pelo backbone CLARO, oferece conexão dedicada e permite manter a empresa 24h conectada à Internet com alta capacidade de tráfego, confiabilidade, qualidade disponibilidade e flexibilidade. Uma solução que capacita as empresas com a </w:t>
      </w:r>
      <w:proofErr w:type="spellStart"/>
      <w:r w:rsidRPr="00EC5FAC">
        <w:rPr>
          <w:rFonts w:cs="Arial"/>
          <w:color w:val="000000"/>
          <w:sz w:val="24"/>
          <w:szCs w:val="24"/>
        </w:rPr>
        <w:t>infra-estrutura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 de rede necessária para implementar a enorme variedade de aplicações que a Internet pode proporcionar.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>O</w:t>
      </w:r>
      <w:r w:rsidRPr="00EC5FAC">
        <w:rPr>
          <w:rFonts w:cs="Arial"/>
          <w:b/>
          <w:color w:val="000000"/>
          <w:sz w:val="24"/>
          <w:szCs w:val="24"/>
        </w:rPr>
        <w:t xml:space="preserve"> Business Link </w:t>
      </w:r>
      <w:proofErr w:type="spellStart"/>
      <w:r w:rsidRPr="00EC5FAC">
        <w:rPr>
          <w:rFonts w:cs="Arial"/>
          <w:b/>
          <w:color w:val="000000"/>
          <w:sz w:val="24"/>
          <w:szCs w:val="24"/>
        </w:rPr>
        <w:t>Direct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 torna disponível toda a gama de serviços Internet, através de um acesso local e uma porta de roteador especialmente configurada para o Cliente, nas velocidades de 1 Mbps à 155 Mbps por meio de conexões diretas. </w:t>
      </w:r>
      <w:proofErr w:type="gramStart"/>
      <w:r w:rsidRPr="00EC5FAC">
        <w:rPr>
          <w:rFonts w:cs="Arial"/>
          <w:color w:val="000000"/>
          <w:sz w:val="24"/>
          <w:szCs w:val="24"/>
        </w:rPr>
        <w:t>nos</w:t>
      </w:r>
      <w:proofErr w:type="gramEnd"/>
      <w:r w:rsidRPr="00EC5FAC">
        <w:rPr>
          <w:rFonts w:cs="Arial"/>
          <w:color w:val="000000"/>
          <w:sz w:val="24"/>
          <w:szCs w:val="24"/>
        </w:rPr>
        <w:t xml:space="preserve"> protocolos Ethernet, PPP, HDLC, ATM e POS.</w:t>
      </w:r>
    </w:p>
    <w:p w:rsidR="00EC5FAC" w:rsidRP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Ttulo2"/>
        <w:rPr>
          <w:rFonts w:cs="Arial"/>
          <w:color w:val="000000"/>
          <w:szCs w:val="24"/>
        </w:rPr>
      </w:pPr>
      <w:bookmarkStart w:id="3" w:name="_Toc482623304"/>
      <w:r w:rsidRPr="00EC5FAC">
        <w:rPr>
          <w:rFonts w:cs="Arial"/>
          <w:color w:val="000000"/>
          <w:szCs w:val="24"/>
        </w:rPr>
        <w:t xml:space="preserve">2.2 – Topologia </w:t>
      </w:r>
      <w:r w:rsidRPr="00EC5FAC">
        <w:rPr>
          <w:rFonts w:cs="Arial"/>
          <w:color w:val="000000"/>
          <w:szCs w:val="24"/>
        </w:rPr>
        <w:t>Genérica</w:t>
      </w:r>
      <w:r w:rsidRPr="00EC5FAC">
        <w:rPr>
          <w:rFonts w:cs="Arial"/>
          <w:color w:val="000000"/>
          <w:szCs w:val="24"/>
        </w:rPr>
        <w:t xml:space="preserve"> da Solução</w:t>
      </w:r>
      <w:bookmarkEnd w:id="3"/>
      <w:r w:rsidRPr="00EC5FAC">
        <w:rPr>
          <w:rFonts w:cs="Arial"/>
          <w:color w:val="000000"/>
          <w:szCs w:val="24"/>
        </w:rPr>
        <w:t xml:space="preserve"> 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noProof/>
          <w:color w:val="000000"/>
          <w:sz w:val="24"/>
          <w:szCs w:val="24"/>
          <w:lang w:eastAsia="pt-BR"/>
        </w:rPr>
        <w:object w:dxaOrig="1440" w:dyaOrig="1440">
          <v:group id="_x0000_s1052" style="position:absolute;left:0;text-align:left;margin-left:-20.95pt;margin-top:16.8pt;width:492.4pt;height:129.25pt;z-index:251660288" coordorigin="311,9036" coordsize="9848,2585">
            <v:group id="_x0000_s1053" style="position:absolute;left:311;top:9036;width:9848;height:2585" coordorigin="244,7342" coordsize="9848,2585">
              <v:line id="_x0000_s1054" style="position:absolute;visibility:visible;v-text-anchor:middle" from="3329,8318" to="3623,8615" o:allowincell="f" strokeweight=".25pt">
                <v:stroke endarrow="block"/>
              </v:line>
              <v:group id="_x0000_s1055" style="position:absolute;left:244;top:7342;width:9848;height:2585" coordorigin="244,7342" coordsize="9848,2585">
                <v:line id="_x0000_s1056" style="position:absolute;visibility:visible;v-text-anchor:middle" from="1746,8708" to="4135,8710" o:allowincell="f" strokecolor="#f30" strokeweight="2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7" type="#_x0000_t202" style="position:absolute;left:1480;top:9385;width:2483;height:402;visibility:visible;v-text-anchor:middle" o:allowincell="f" filled="f" fillcolor="#0c9" stroked="f" strokeweight=".25pt">
                  <v:textbox style="mso-next-textbox:#_x0000_s1057">
                    <w:txbxContent>
                      <w:p w:rsidR="00EC5FAC" w:rsidRDefault="00EC5FAC" w:rsidP="00EC5FAC">
                        <w:pPr>
                          <w:jc w:val="center"/>
                          <w:rPr>
                            <w:rFonts w:ascii="Arial" w:hAnsi="Arial"/>
                            <w:snapToGrid w:val="0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snapToGrid w:val="0"/>
                            <w:color w:val="FF0000"/>
                            <w:sz w:val="28"/>
                          </w:rPr>
                          <w:t xml:space="preserve">  Acesso</w:t>
                        </w:r>
                      </w:p>
                    </w:txbxContent>
                  </v:textbox>
                </v:shape>
                <v:shape id="_x0000_s1058" type="#_x0000_t202" style="position:absolute;left:1694;top:7971;width:2220;height:401;visibility:visible;v-text-anchor:middle" o:allowincell="f" filled="f" fillcolor="#0c9" stroked="f" strokeweight=".25pt">
                  <v:textbox style="mso-next-textbox:#_x0000_s1058">
                    <w:txbxContent>
                      <w:p w:rsidR="00EC5FAC" w:rsidRDefault="00EC5FAC" w:rsidP="00EC5FAC">
                        <w:pPr>
                          <w:jc w:val="center"/>
                          <w:rPr>
                            <w:rFonts w:ascii="Arial" w:hAnsi="Arial"/>
                            <w:snapToGrid w:val="0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snapToGrid w:val="0"/>
                            <w:color w:val="FF0000"/>
                            <w:sz w:val="28"/>
                          </w:rPr>
                          <w:t xml:space="preserve">          Porta </w:t>
                        </w:r>
                      </w:p>
                    </w:txbxContent>
                  </v:textbox>
                </v:shape>
                <v:group id="_x0000_s1059" style="position:absolute;left:244;top:7885;width:1607;height:1522" coordorigin="76,9415" coordsize="1607,1522">
                  <v:shape id="_x0000_s1060" type="#_x0000_t202" style="position:absolute;left:244;top:9461;width:1100;height:403;visibility:visible;v-text-anchor:middle" o:allowincell="f" filled="f" fillcolor="#0c9" stroked="f" strokeweight=".25pt">
                    <v:textbox style="mso-next-textbox:#_x0000_s1060">
                      <w:txbxContent>
                        <w:p w:rsidR="00EC5FAC" w:rsidRDefault="00EC5FAC" w:rsidP="00EC5FAC">
                          <w:pPr>
                            <w:jc w:val="center"/>
                            <w:rPr>
                              <w:rFonts w:ascii="Arial" w:hAnsi="Arial"/>
                              <w:snapToGrid w:val="0"/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snapToGrid w:val="0"/>
                              <w:color w:val="000000"/>
                              <w:sz w:val="24"/>
                            </w:rPr>
                            <w:t>Cliente</w:t>
                          </w:r>
                        </w:p>
                      </w:txbxContent>
                    </v:textbox>
                  </v:shape>
                  <v:rect id="_x0000_s1061" style="position:absolute;left:76;top:9415;width:1607;height:1522;visibility:visible;v-text-anchor:middle" o:allowincell="f" filled="f" fillcolor="#0c9" strokeweight=".25p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359" o:spid="_x0000_s1062" type="#_x0000_t75" alt="pc" style="position:absolute;left:719;top:9859;width:558;height:400;visibility:visible" o:allowincell="f">
                    <v:imagedata r:id="rId8" o:title="pc"/>
                  </v:shape>
                  <v:shape id="Imagem 360" o:spid="_x0000_s1063" type="#_x0000_t75" alt="server" style="position:absolute;left:143;top:9816;width:357;height:484;visibility:visible" o:allowincell="f">
                    <v:imagedata r:id="rId9" o:title="server"/>
                  </v:shape>
                  <v:line id="_x0000_s1064" style="position:absolute;visibility:visible;v-text-anchor:middle" from="331,10469" to="1277,10469" o:allowincell="f" strokeweight=".25pt"/>
                  <v:line id="_x0000_s1065" style="position:absolute;flip:y;visibility:visible;v-text-anchor:middle" from="331,10300" to="331,10478" o:allowincell="f" strokeweight=".25pt"/>
                  <v:line id="_x0000_s1066" style="position:absolute;visibility:visible;v-text-anchor:middle" from="943,10259" to="956,10469" o:allowincell="f" strokeweight=".25pt"/>
                </v:group>
                <v:shape id="Imagem 367" o:spid="_x0000_s1067" type="#_x0000_t75" alt="cloud" style="position:absolute;left:3835;top:8036;width:3770;height:1891;visibility:visible" o:allowincell="f">
                  <v:imagedata r:id="rId10" o:title="cloud"/>
                </v:shape>
                <v:shape id="_x0000_s1068" type="#_x0000_t202" style="position:absolute;left:4266;top:8552;width:2804;height:884;visibility:visible;v-text-anchor:top-baseline" o:allowincell="f" filled="f" fillcolor="#0c9" stroked="f">
                  <v:textbox style="mso-next-textbox:#_x0000_s1068">
                    <w:txbxContent>
                      <w:p w:rsidR="00EC5FAC" w:rsidRPr="00EC5FAC" w:rsidRDefault="00EC5FAC" w:rsidP="00EC5FAC">
                        <w:pPr>
                          <w:jc w:val="center"/>
                          <w:rPr>
                            <w:rFonts w:ascii="Arial" w:hAnsi="Arial"/>
                            <w:b/>
                            <w:snapToGrid w:val="0"/>
                            <w:color w:val="000000"/>
                            <w:sz w:val="20"/>
                          </w:rPr>
                        </w:pPr>
                        <w:proofErr w:type="gramStart"/>
                        <w:r w:rsidRPr="00EC5FAC">
                          <w:rPr>
                            <w:rFonts w:ascii="Albertus Xb (W1)" w:hAnsi="Albertus Xb (W1)"/>
                            <w:b/>
                            <w:snapToGrid w:val="0"/>
                            <w:color w:val="000000"/>
                            <w:sz w:val="20"/>
                          </w:rPr>
                          <w:t>BACKBONE  IP</w:t>
                        </w:r>
                        <w:proofErr w:type="gramEnd"/>
                      </w:p>
                      <w:p w:rsidR="00EC5FAC" w:rsidRPr="00EC5FAC" w:rsidRDefault="00EC5FAC" w:rsidP="00EC5FAC">
                        <w:pPr>
                          <w:jc w:val="center"/>
                          <w:rPr>
                            <w:rFonts w:ascii="Arial" w:hAnsi="Arial"/>
                            <w:snapToGrid w:val="0"/>
                            <w:color w:val="000000"/>
                            <w:sz w:val="28"/>
                          </w:rPr>
                        </w:pPr>
                        <w:r w:rsidRPr="00EC5FAC">
                          <w:rPr>
                            <w:rFonts w:ascii="Arial" w:hAnsi="Arial"/>
                            <w:b/>
                            <w:i/>
                            <w:snapToGrid w:val="0"/>
                            <w:color w:val="000000"/>
                            <w:sz w:val="28"/>
                          </w:rPr>
                          <w:t>CLARO</w:t>
                        </w:r>
                      </w:p>
                    </w:txbxContent>
                  </v:textbox>
                </v:shape>
                <v:oval id="_x0000_s1069" style="position:absolute;left:1895;top:8662;width:106;height:93;flip:x;visibility:visible;v-text-anchor:middle" o:allowincell="f" fillcolor="#33c" strokecolor="#33c" strokeweight=".25pt"/>
                <v:line id="_x0000_s1070" style="position:absolute;flip:x y;visibility:visible;v-text-anchor:middle" from="2439,8821" to="2801,9415" o:allowincell="f" strokeweight=".25pt">
                  <v:stroke endarrow="block"/>
                </v:line>
                <v:shape id="_x0000_s1071" type="#_x0000_t202" style="position:absolute;left:7609;top:8286;width:2483;height:402;visibility:visible;v-text-anchor:middle" o:allowincell="f" filled="f" fillcolor="#0c9" stroked="f" strokeweight=".25pt">
                  <v:textbox style="mso-next-textbox:#_x0000_s1071">
                    <w:txbxContent>
                      <w:p w:rsidR="00EC5FAC" w:rsidRDefault="00EC5FAC" w:rsidP="00EC5FAC">
                        <w:pPr>
                          <w:jc w:val="center"/>
                          <w:rPr>
                            <w:rFonts w:ascii="Arial" w:hAnsi="Arial"/>
                            <w:snapToGrid w:val="0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napToGrid w:val="0"/>
                            <w:color w:val="FF0000"/>
                            <w:sz w:val="28"/>
                          </w:rPr>
                          <w:t xml:space="preserve">    </w:t>
                        </w:r>
                        <w:r>
                          <w:rPr>
                            <w:rFonts w:ascii="Arial" w:hAnsi="Arial"/>
                            <w:snapToGrid w:val="0"/>
                            <w:sz w:val="24"/>
                          </w:rPr>
                          <w:t>INTERNET</w:t>
                        </w:r>
                      </w:p>
                    </w:txbxContent>
                  </v:textbox>
                </v:shape>
                <v:shape id="_x0000_s1072" type="#_x0000_t75" style="position:absolute;left:8368;top:7342;width:1096;height:969;visibility:visible;mso-wrap-edited:f" o:allowincell="f">
                  <v:imagedata r:id="rId11" o:title=""/>
                </v:shape>
                <v:shape id="Imagem 370" o:spid="_x0000_s1073" type="#_x0000_t75" alt="RouterATM" style="position:absolute;left:3701;top:8615;width:434;height:256;visibility:visible" o:allowincell="f">
                  <v:imagedata r:id="rId12" o:title="RouterATM"/>
                </v:shape>
              </v:group>
            </v:group>
            <v:shape id="Imagem 361" o:spid="_x0000_s1074" type="#_x0000_t75" alt="router-generic" style="position:absolute;left:1499;top:10233;width:496;height:302;visibility:visible" o:allowincell="f">
              <v:imagedata r:id="rId13" o:title="router-generic"/>
            </v:shape>
            <v:oval id="_x0000_s1075" style="position:absolute;left:3690;top:10362;width:106;height:93;flip:x;visibility:visible;v-text-anchor:middle" o:allowincell="f" fillcolor="#33c" strokecolor="#33c" strokeweight=".25pt"/>
          </v:group>
          <o:OLEObject Type="Embed" ProgID="Word.Picture.8" ShapeID="_x0000_s1072" DrawAspect="Content" ObjectID="_1556365890" r:id="rId14"/>
        </w:objec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noProof/>
          <w:color w:val="000000"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25F3CE55" wp14:editId="153F605C">
                <wp:simplePos x="0" y="0"/>
                <wp:positionH relativeFrom="column">
                  <wp:posOffset>4387216</wp:posOffset>
                </wp:positionH>
                <wp:positionV relativeFrom="paragraph">
                  <wp:posOffset>100964</wp:posOffset>
                </wp:positionV>
                <wp:extent cx="476250" cy="771525"/>
                <wp:effectExtent l="38100" t="95250" r="0" b="104775"/>
                <wp:wrapNone/>
                <wp:docPr id="3" name="Conector angulad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6250" cy="7715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38100">
                          <a:solidFill>
                            <a:srgbClr val="4D4D4D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2888D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ctor angulado 3" o:spid="_x0000_s1026" type="#_x0000_t34" style="position:absolute;margin-left:345.45pt;margin-top:7.95pt;width:37.5pt;height:60.7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" o:allowincell="f" strokecolor="#4d4d4d" strokeweight="3pt">
                <v:stroke startarrow="block" endarrow="block"/>
              </v:shape>
            </w:pict>
          </mc:Fallback>
        </mc:AlternateConten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  <w:bookmarkStart w:id="4" w:name="_Toc146372683"/>
    </w:p>
    <w:p w:rsidR="00EC5FAC" w:rsidRPr="00EC5FAC" w:rsidRDefault="00EC5FAC">
      <w:pPr>
        <w:rPr>
          <w:rFonts w:ascii="Arial" w:eastAsia="Times New Roman" w:hAnsi="Arial" w:cs="Arial"/>
          <w:b/>
          <w:color w:val="000000"/>
          <w:sz w:val="24"/>
          <w:szCs w:val="24"/>
        </w:rPr>
      </w:pPr>
      <w:bookmarkStart w:id="5" w:name="_Toc482623305"/>
      <w:bookmarkEnd w:id="4"/>
    </w:p>
    <w:p w:rsidR="00EC5FAC" w:rsidRPr="00EC5FAC" w:rsidRDefault="00EC5FAC" w:rsidP="00EC5FAC">
      <w:pPr>
        <w:pStyle w:val="Ttulo2"/>
        <w:rPr>
          <w:rFonts w:cs="Arial"/>
          <w:color w:val="000000"/>
          <w:szCs w:val="24"/>
        </w:rPr>
      </w:pPr>
      <w:r w:rsidRPr="00EC5FAC">
        <w:rPr>
          <w:rFonts w:cs="Arial"/>
          <w:color w:val="000000"/>
          <w:szCs w:val="24"/>
        </w:rPr>
        <w:t>2.3 – Aplicações Gerais</w:t>
      </w:r>
      <w:bookmarkEnd w:id="5"/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>Conexões dedicadas são indicadas para empresas de todos os portes que: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numPr>
          <w:ilvl w:val="0"/>
          <w:numId w:val="1"/>
        </w:numPr>
        <w:ind w:left="0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 xml:space="preserve">Têm a intenção de prover acesso interno aos seus empregados/clientes através de rede corporativa </w:t>
      </w:r>
    </w:p>
    <w:p w:rsidR="00EC5FAC" w:rsidRPr="00EC5FAC" w:rsidRDefault="00EC5FAC" w:rsidP="00EC5FAC">
      <w:pPr>
        <w:pStyle w:val="Corpodetexto"/>
        <w:numPr>
          <w:ilvl w:val="0"/>
          <w:numId w:val="1"/>
        </w:numPr>
        <w:ind w:left="0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>Desejam montar serviços de informação (</w:t>
      </w:r>
      <w:proofErr w:type="spellStart"/>
      <w:r w:rsidRPr="00EC5FAC">
        <w:rPr>
          <w:rFonts w:cs="Arial"/>
          <w:color w:val="000000"/>
          <w:sz w:val="24"/>
          <w:szCs w:val="24"/>
        </w:rPr>
        <w:t>information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EC5FAC">
        <w:rPr>
          <w:rFonts w:cs="Arial"/>
          <w:color w:val="000000"/>
          <w:sz w:val="24"/>
          <w:szCs w:val="24"/>
        </w:rPr>
        <w:t>providers</w:t>
      </w:r>
      <w:proofErr w:type="spellEnd"/>
      <w:r w:rsidRPr="00EC5FAC">
        <w:rPr>
          <w:rFonts w:cs="Arial"/>
          <w:color w:val="000000"/>
          <w:sz w:val="24"/>
          <w:szCs w:val="24"/>
        </w:rPr>
        <w:t>), criando uma presença institucional na Internet, ou mesmo prestar seus serviços através da rede (</w:t>
      </w:r>
      <w:proofErr w:type="spellStart"/>
      <w:r w:rsidRPr="00EC5FAC">
        <w:rPr>
          <w:rFonts w:cs="Arial"/>
          <w:color w:val="000000"/>
          <w:sz w:val="24"/>
          <w:szCs w:val="24"/>
        </w:rPr>
        <w:t>service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EC5FAC">
        <w:rPr>
          <w:rFonts w:cs="Arial"/>
          <w:color w:val="000000"/>
          <w:sz w:val="24"/>
          <w:szCs w:val="24"/>
        </w:rPr>
        <w:t>providers</w:t>
      </w:r>
      <w:proofErr w:type="spellEnd"/>
      <w:r w:rsidRPr="00EC5FAC">
        <w:rPr>
          <w:rFonts w:cs="Arial"/>
          <w:color w:val="000000"/>
          <w:sz w:val="24"/>
          <w:szCs w:val="24"/>
        </w:rPr>
        <w:t>)</w:t>
      </w:r>
    </w:p>
    <w:p w:rsidR="00EC5FAC" w:rsidRPr="00EC5FAC" w:rsidRDefault="00EC5FAC" w:rsidP="00EC5FAC">
      <w:pPr>
        <w:pStyle w:val="Corpodetexto"/>
        <w:numPr>
          <w:ilvl w:val="0"/>
          <w:numId w:val="1"/>
        </w:numPr>
        <w:ind w:left="0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>Provedores de serviços de conexão (</w:t>
      </w:r>
      <w:proofErr w:type="spellStart"/>
      <w:r w:rsidRPr="00EC5FAC">
        <w:rPr>
          <w:rFonts w:cs="Arial"/>
          <w:color w:val="000000"/>
          <w:sz w:val="24"/>
          <w:szCs w:val="24"/>
        </w:rPr>
        <w:t>access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EC5FAC">
        <w:rPr>
          <w:rFonts w:cs="Arial"/>
          <w:color w:val="000000"/>
          <w:sz w:val="24"/>
          <w:szCs w:val="24"/>
        </w:rPr>
        <w:t>providers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), fornecendo conexão à Internet para terceiros, através de sua própria rede </w:t>
      </w:r>
    </w:p>
    <w:p w:rsidR="00EC5FAC" w:rsidRPr="00EC5FAC" w:rsidRDefault="00EC5FAC" w:rsidP="00EC5FAC">
      <w:pPr>
        <w:pStyle w:val="Corpodetexto"/>
        <w:numPr>
          <w:ilvl w:val="0"/>
          <w:numId w:val="1"/>
        </w:numPr>
        <w:ind w:left="0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>Provedores de conteúdo (</w:t>
      </w:r>
      <w:proofErr w:type="spellStart"/>
      <w:r w:rsidRPr="00EC5FAC">
        <w:rPr>
          <w:rFonts w:cs="Arial"/>
          <w:color w:val="000000"/>
          <w:sz w:val="24"/>
          <w:szCs w:val="24"/>
        </w:rPr>
        <w:t>content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Pr="00EC5FAC">
        <w:rPr>
          <w:rFonts w:cs="Arial"/>
          <w:color w:val="000000"/>
          <w:sz w:val="24"/>
          <w:szCs w:val="24"/>
        </w:rPr>
        <w:t>providers</w:t>
      </w:r>
      <w:proofErr w:type="spellEnd"/>
      <w:r w:rsidRPr="00EC5FAC">
        <w:rPr>
          <w:rFonts w:cs="Arial"/>
          <w:color w:val="000000"/>
          <w:sz w:val="24"/>
          <w:szCs w:val="24"/>
        </w:rPr>
        <w:t xml:space="preserve">), disponibilizando informação de interesse geral na rede. </w:t>
      </w:r>
    </w:p>
    <w:p w:rsidR="00EC5FAC" w:rsidRPr="00EC5FAC" w:rsidRDefault="00EC5FAC" w:rsidP="00EC5FAC">
      <w:pPr>
        <w:pStyle w:val="Corpodetexto"/>
        <w:numPr>
          <w:ilvl w:val="0"/>
          <w:numId w:val="1"/>
        </w:numPr>
        <w:ind w:left="0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>Precisam de conexão além das discadas. As velocidades entre 1 Mbps e 12 Mbps são ideais para empresas de pequeno porte e escritórios que queiram manter um site na Web de baixo volume, enviar e receber e-mails e transferir arquivos.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Ttulo2"/>
        <w:rPr>
          <w:rFonts w:cs="Arial"/>
          <w:color w:val="000000"/>
          <w:szCs w:val="24"/>
        </w:rPr>
      </w:pPr>
    </w:p>
    <w:p w:rsidR="00EC5FAC" w:rsidRPr="00EC5FAC" w:rsidRDefault="00EC5FAC" w:rsidP="00EC5FAC">
      <w:pPr>
        <w:pStyle w:val="Ttulo2"/>
        <w:rPr>
          <w:rFonts w:cs="Arial"/>
          <w:color w:val="000000"/>
          <w:szCs w:val="24"/>
        </w:rPr>
      </w:pPr>
      <w:bookmarkStart w:id="6" w:name="_Toc482623306"/>
      <w:r w:rsidRPr="00EC5FAC">
        <w:rPr>
          <w:rFonts w:cs="Arial"/>
          <w:color w:val="000000"/>
          <w:szCs w:val="24"/>
        </w:rPr>
        <w:t>2.4 – Garantia de Desempenho e Topologia da Solução</w:t>
      </w:r>
      <w:bookmarkEnd w:id="6"/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 xml:space="preserve"> 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 xml:space="preserve">O ADITIVO DE GARANTIA DE DESEMPENHO é um instrumento legal que estende os termos do contrato, definindo e garantindo parâmetros de medida das condições de desempenho do </w:t>
      </w:r>
      <w:r w:rsidRPr="00EC5FAC">
        <w:rPr>
          <w:rFonts w:cs="Arial"/>
          <w:i/>
          <w:color w:val="000000"/>
          <w:sz w:val="24"/>
          <w:szCs w:val="24"/>
        </w:rPr>
        <w:t>backbone</w:t>
      </w:r>
      <w:r w:rsidRPr="00EC5FAC">
        <w:rPr>
          <w:rFonts w:cs="Arial"/>
          <w:color w:val="000000"/>
          <w:sz w:val="24"/>
          <w:szCs w:val="24"/>
        </w:rPr>
        <w:t xml:space="preserve"> Internet da CLARO, além de permitir acesso, através de senha exclusiva, </w:t>
      </w:r>
      <w:proofErr w:type="gramStart"/>
      <w:r w:rsidRPr="00EC5FAC">
        <w:rPr>
          <w:rFonts w:cs="Arial"/>
          <w:color w:val="000000"/>
          <w:sz w:val="24"/>
          <w:szCs w:val="24"/>
        </w:rPr>
        <w:t>à</w:t>
      </w:r>
      <w:proofErr w:type="gramEnd"/>
      <w:r w:rsidRPr="00EC5FAC">
        <w:rPr>
          <w:rFonts w:cs="Arial"/>
          <w:color w:val="000000"/>
          <w:sz w:val="24"/>
          <w:szCs w:val="24"/>
        </w:rPr>
        <w:t xml:space="preserve"> informações atualizadas do desempenho do </w:t>
      </w:r>
      <w:r w:rsidRPr="00EC5FAC">
        <w:rPr>
          <w:rFonts w:cs="Arial"/>
          <w:i/>
          <w:color w:val="000000"/>
          <w:sz w:val="24"/>
          <w:szCs w:val="24"/>
        </w:rPr>
        <w:t>backbone</w:t>
      </w:r>
      <w:r w:rsidRPr="00EC5FAC">
        <w:rPr>
          <w:rFonts w:cs="Arial"/>
          <w:color w:val="000000"/>
          <w:sz w:val="24"/>
          <w:szCs w:val="24"/>
        </w:rPr>
        <w:t xml:space="preserve"> e do tráfego em sua porta (outras informações devem ser obtidas no </w:t>
      </w:r>
      <w:r w:rsidRPr="00EC5FAC">
        <w:rPr>
          <w:rFonts w:cs="Arial"/>
          <w:i/>
          <w:color w:val="000000"/>
          <w:sz w:val="24"/>
          <w:szCs w:val="24"/>
        </w:rPr>
        <w:t>site</w:t>
      </w:r>
      <w:r w:rsidRPr="00EC5FAC">
        <w:rPr>
          <w:rFonts w:cs="Arial"/>
          <w:color w:val="000000"/>
          <w:sz w:val="24"/>
          <w:szCs w:val="24"/>
        </w:rPr>
        <w:t xml:space="preserve"> Internet da CLARO - </w:t>
      </w:r>
      <w:r w:rsidRPr="00EC5FAC">
        <w:rPr>
          <w:rFonts w:cs="Arial"/>
          <w:i/>
          <w:color w:val="000000"/>
          <w:sz w:val="24"/>
          <w:szCs w:val="24"/>
        </w:rPr>
        <w:t>www.embratel.net.br</w:t>
      </w:r>
      <w:r w:rsidRPr="00EC5FAC">
        <w:rPr>
          <w:rFonts w:cs="Arial"/>
          <w:color w:val="000000"/>
          <w:sz w:val="24"/>
          <w:szCs w:val="24"/>
        </w:rPr>
        <w:t>, na seção relativa ao Programa de Garantia de Desempenho).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 xml:space="preserve">A CLARO garante aos participantes do Programa um nível mínimo de desempenho especificado, expresso através dos seguintes Parâmetros e respectivos Valores-objetivo, considerados no </w:t>
      </w:r>
      <w:r w:rsidRPr="00EC5FAC">
        <w:rPr>
          <w:rFonts w:cs="Arial"/>
          <w:i/>
          <w:color w:val="000000"/>
          <w:sz w:val="24"/>
          <w:szCs w:val="24"/>
        </w:rPr>
        <w:t xml:space="preserve">núcleo </w:t>
      </w:r>
      <w:r w:rsidRPr="00EC5FAC">
        <w:rPr>
          <w:rFonts w:cs="Arial"/>
          <w:color w:val="000000"/>
          <w:sz w:val="24"/>
          <w:szCs w:val="24"/>
        </w:rPr>
        <w:t>da Rede Internet da CLARO (não sendo considerados cidades atendidas por satélite). Para o TJAL, a solução de acesso em anel oferece: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69"/>
        <w:gridCol w:w="1975"/>
      </w:tblGrid>
      <w:tr w:rsidR="00EC5FAC" w:rsidRPr="00EC5FAC" w:rsidTr="00B365FE">
        <w:trPr>
          <w:jc w:val="center"/>
        </w:trPr>
        <w:tc>
          <w:tcPr>
            <w:tcW w:w="3669" w:type="dxa"/>
            <w:shd w:val="clear" w:color="auto" w:fill="1F497D"/>
            <w:vAlign w:val="center"/>
          </w:tcPr>
          <w:p w:rsidR="00EC5FAC" w:rsidRPr="00EC5FAC" w:rsidRDefault="00EC5FAC" w:rsidP="00EC5FAC">
            <w:pPr>
              <w:jc w:val="both"/>
              <w:rPr>
                <w:rFonts w:ascii="Arial" w:hAnsi="Arial" w:cs="Arial"/>
                <w:color w:val="FFFFFF"/>
                <w:sz w:val="24"/>
                <w:szCs w:val="24"/>
                <w:lang w:val="en-US"/>
              </w:rPr>
            </w:pPr>
            <w:r w:rsidRPr="00EC5FAC">
              <w:rPr>
                <w:rFonts w:ascii="Arial" w:hAnsi="Arial" w:cs="Arial"/>
                <w:color w:val="FFFFFF"/>
                <w:sz w:val="24"/>
                <w:szCs w:val="24"/>
                <w:lang w:val="en-US"/>
              </w:rPr>
              <w:fldChar w:fldCharType="begin"/>
            </w:r>
            <w:r w:rsidRPr="00EC5FAC">
              <w:rPr>
                <w:rFonts w:ascii="Arial" w:hAnsi="Arial" w:cs="Arial"/>
                <w:color w:val="FFFFFF"/>
                <w:sz w:val="24"/>
                <w:szCs w:val="24"/>
                <w:lang w:val="en-US"/>
              </w:rPr>
              <w:instrText>PRIVATE</w:instrText>
            </w:r>
            <w:r w:rsidRPr="00EC5FAC">
              <w:rPr>
                <w:rFonts w:ascii="Arial" w:hAnsi="Arial" w:cs="Arial"/>
                <w:color w:val="FFFFFF"/>
                <w:sz w:val="24"/>
                <w:szCs w:val="24"/>
                <w:lang w:val="en-US"/>
              </w:rPr>
              <w:fldChar w:fldCharType="end"/>
            </w:r>
            <w:proofErr w:type="spellStart"/>
            <w:r w:rsidRPr="00EC5FAC">
              <w:rPr>
                <w:rFonts w:ascii="Arial" w:hAnsi="Arial" w:cs="Arial"/>
                <w:b/>
                <w:color w:val="FFFFFF"/>
                <w:sz w:val="24"/>
                <w:szCs w:val="24"/>
                <w:lang w:val="en-US"/>
              </w:rPr>
              <w:t>Indicador</w:t>
            </w:r>
            <w:proofErr w:type="spellEnd"/>
          </w:p>
        </w:tc>
        <w:tc>
          <w:tcPr>
            <w:tcW w:w="1975" w:type="dxa"/>
            <w:shd w:val="clear" w:color="auto" w:fill="1F497D"/>
            <w:vAlign w:val="center"/>
          </w:tcPr>
          <w:p w:rsidR="00EC5FAC" w:rsidRPr="00EC5FAC" w:rsidRDefault="00EC5FAC" w:rsidP="00EC5FAC">
            <w:pPr>
              <w:jc w:val="both"/>
              <w:rPr>
                <w:rFonts w:ascii="Arial" w:hAnsi="Arial" w:cs="Arial"/>
                <w:color w:val="FFFFFF"/>
                <w:sz w:val="24"/>
                <w:szCs w:val="24"/>
                <w:lang w:val="en-US"/>
              </w:rPr>
            </w:pPr>
            <w:r w:rsidRPr="00EC5FAC">
              <w:rPr>
                <w:rFonts w:ascii="Arial" w:hAnsi="Arial" w:cs="Arial"/>
                <w:b/>
                <w:color w:val="FFFFFF"/>
                <w:sz w:val="24"/>
                <w:szCs w:val="24"/>
              </w:rPr>
              <w:t>Padrão de Qualidade SLA</w:t>
            </w:r>
          </w:p>
        </w:tc>
      </w:tr>
      <w:tr w:rsidR="00EC5FAC" w:rsidRPr="00EC5FAC" w:rsidTr="00B365FE">
        <w:trPr>
          <w:trHeight w:val="519"/>
          <w:jc w:val="center"/>
        </w:trPr>
        <w:tc>
          <w:tcPr>
            <w:tcW w:w="3669" w:type="dxa"/>
            <w:vAlign w:val="center"/>
          </w:tcPr>
          <w:p w:rsidR="00EC5FAC" w:rsidRPr="00EC5FAC" w:rsidRDefault="00EC5FAC" w:rsidP="00EC5FA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Latência</w:t>
            </w:r>
            <w:proofErr w:type="spellEnd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milisegundos</w:t>
            </w:r>
            <w:proofErr w:type="spellEnd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75" w:type="dxa"/>
            <w:vAlign w:val="center"/>
          </w:tcPr>
          <w:p w:rsidR="00EC5FAC" w:rsidRPr="00EC5FAC" w:rsidRDefault="00EC5FAC" w:rsidP="00EC5FA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50 </w:t>
            </w:r>
            <w:proofErr w:type="spellStart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ms</w:t>
            </w:r>
            <w:proofErr w:type="spellEnd"/>
          </w:p>
        </w:tc>
      </w:tr>
      <w:tr w:rsidR="00EC5FAC" w:rsidRPr="00EC5FAC" w:rsidTr="00B365FE">
        <w:trPr>
          <w:trHeight w:val="425"/>
          <w:jc w:val="center"/>
        </w:trPr>
        <w:tc>
          <w:tcPr>
            <w:tcW w:w="3669" w:type="dxa"/>
            <w:vAlign w:val="center"/>
          </w:tcPr>
          <w:p w:rsidR="00EC5FAC" w:rsidRPr="00EC5FAC" w:rsidRDefault="00EC5FAC" w:rsidP="00EC5FA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Perda</w:t>
            </w:r>
            <w:proofErr w:type="spellEnd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Pacotes</w:t>
            </w:r>
            <w:proofErr w:type="spellEnd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1975" w:type="dxa"/>
            <w:vAlign w:val="center"/>
          </w:tcPr>
          <w:p w:rsidR="00EC5FAC" w:rsidRPr="00EC5FAC" w:rsidRDefault="00EC5FAC" w:rsidP="00EC5FA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0,5 %</w:t>
            </w:r>
          </w:p>
        </w:tc>
      </w:tr>
      <w:tr w:rsidR="00EC5FAC" w:rsidRPr="00EC5FAC" w:rsidTr="00B365FE">
        <w:trPr>
          <w:trHeight w:val="430"/>
          <w:jc w:val="center"/>
        </w:trPr>
        <w:tc>
          <w:tcPr>
            <w:tcW w:w="3669" w:type="dxa"/>
            <w:vAlign w:val="center"/>
          </w:tcPr>
          <w:p w:rsidR="00EC5FAC" w:rsidRPr="00EC5FAC" w:rsidRDefault="00EC5FAC" w:rsidP="00EC5FA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Disponibilidade</w:t>
            </w:r>
            <w:proofErr w:type="spellEnd"/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1975" w:type="dxa"/>
            <w:vAlign w:val="center"/>
          </w:tcPr>
          <w:p w:rsidR="00EC5FAC" w:rsidRPr="00EC5FAC" w:rsidRDefault="00EC5FAC" w:rsidP="00EC5FA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EC5FA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99.98 %</w:t>
            </w:r>
          </w:p>
        </w:tc>
      </w:tr>
    </w:tbl>
    <w:p w:rsidR="00EC5FAC" w:rsidRPr="00EC5FAC" w:rsidRDefault="00EC5FAC" w:rsidP="00EC5FAC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EC5FAC">
        <w:rPr>
          <w:rFonts w:ascii="Arial" w:hAnsi="Arial" w:cs="Arial"/>
          <w:color w:val="000000"/>
          <w:sz w:val="24"/>
          <w:szCs w:val="24"/>
        </w:rPr>
        <w:t>* ÍNDICES DISPONÍVEIS NA INTERNET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bookmarkStart w:id="7" w:name="_Toc146372684"/>
      <w:r w:rsidRPr="00EC5FAC">
        <w:rPr>
          <w:rFonts w:cs="Arial"/>
          <w:color w:val="000000"/>
          <w:sz w:val="24"/>
          <w:szCs w:val="24"/>
        </w:rPr>
        <w:t xml:space="preserve">O não atendimento a qualquer um dos Valores-objetivo indicados na tabela acima em um determinado mês, caracteriza o não cumprimento, pela CLARO, da Garantia de Desempenho naquele mês e seguirão as definições do edital para este assunto. </w:t>
      </w: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</w:p>
    <w:p w:rsidR="00EC5FAC" w:rsidRPr="00EC5FAC" w:rsidRDefault="00EC5FAC" w:rsidP="00EC5FAC">
      <w:pPr>
        <w:pStyle w:val="Corpodetexto"/>
        <w:jc w:val="both"/>
        <w:rPr>
          <w:rFonts w:cs="Arial"/>
          <w:color w:val="000000"/>
          <w:sz w:val="24"/>
          <w:szCs w:val="24"/>
        </w:rPr>
      </w:pPr>
      <w:r w:rsidRPr="00EC5FAC">
        <w:rPr>
          <w:rFonts w:cs="Arial"/>
          <w:color w:val="000000"/>
          <w:sz w:val="24"/>
          <w:szCs w:val="24"/>
        </w:rPr>
        <w:t xml:space="preserve">A </w:t>
      </w:r>
      <w:r w:rsidRPr="00EC5FAC">
        <w:rPr>
          <w:rFonts w:cs="Arial"/>
          <w:b/>
          <w:color w:val="000000"/>
          <w:sz w:val="24"/>
          <w:szCs w:val="24"/>
        </w:rPr>
        <w:t>Rede Internet CLARO</w:t>
      </w:r>
      <w:r w:rsidRPr="00EC5FAC">
        <w:rPr>
          <w:rFonts w:cs="Arial"/>
          <w:color w:val="000000"/>
          <w:sz w:val="24"/>
          <w:szCs w:val="24"/>
        </w:rPr>
        <w:t xml:space="preserve"> é a primeira a garantir em contrato, índices explícitos de desempenho. Conheça mais detalhes sobre o Programa de Garantia de Desempenho e veja o que a Internet CLARO pode oferecer para você. Acesse nosso site www.embratel.net.br;</w:t>
      </w:r>
    </w:p>
    <w:p w:rsidR="00EC5FAC" w:rsidRP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</w:p>
    <w:bookmarkEnd w:id="7"/>
    <w:p w:rsidR="00EC5FAC" w:rsidRPr="00EC5FAC" w:rsidRDefault="00EC5FAC" w:rsidP="00EC5FAC">
      <w:pPr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5FAC">
        <w:rPr>
          <w:rFonts w:ascii="Arial" w:eastAsia="Times New Roman" w:hAnsi="Arial" w:cs="Arial"/>
          <w:color w:val="000000"/>
          <w:sz w:val="24"/>
          <w:szCs w:val="24"/>
        </w:rPr>
        <w:t>A topologia Lógica de atendimento do TJAL é a apresentada no ANEXO A, já o ANEXO B é apresentada a Topologia Física do Acesso ao TJAL, demonstrando o caminho percorrido pela fibra para formar o anel auto contingenciado.</w:t>
      </w:r>
    </w:p>
    <w:p w:rsid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EC5FAC" w:rsidRDefault="00EC5FAC">
      <w:pPr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br w:type="page"/>
      </w:r>
    </w:p>
    <w:p w:rsidR="001B5813" w:rsidRPr="001B5813" w:rsidRDefault="001B5813" w:rsidP="001B5813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B5813">
        <w:rPr>
          <w:rFonts w:ascii="Arial" w:hAnsi="Arial" w:cs="Arial"/>
          <w:b/>
          <w:color w:val="000000"/>
          <w:sz w:val="24"/>
          <w:szCs w:val="24"/>
        </w:rPr>
        <w:t>Anexos de Topologia</w:t>
      </w:r>
    </w:p>
    <w:p w:rsid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pt-BR"/>
        </w:rPr>
        <w:drawing>
          <wp:inline distT="0" distB="0" distL="0" distR="0" wp14:anchorId="40427A1B" wp14:editId="37CDD586">
            <wp:extent cx="5438775" cy="37242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46009" cy="372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EC5FAC" w:rsidRPr="00EC5FAC" w:rsidRDefault="00EC5FAC" w:rsidP="00EC5FAC">
      <w:pPr>
        <w:jc w:val="both"/>
        <w:rPr>
          <w:rFonts w:ascii="Arial" w:hAnsi="Arial" w:cs="Arial"/>
          <w:color w:val="000000"/>
          <w:sz w:val="24"/>
          <w:szCs w:val="24"/>
        </w:rPr>
      </w:pPr>
      <w:bookmarkStart w:id="8" w:name="_GoBack"/>
      <w:r>
        <w:rPr>
          <w:noProof/>
          <w:lang w:eastAsia="pt-BR"/>
        </w:rPr>
        <w:drawing>
          <wp:inline distT="0" distB="0" distL="0" distR="0" wp14:anchorId="5B41A07B" wp14:editId="2BB5E46A">
            <wp:extent cx="5400040" cy="3743325"/>
            <wp:effectExtent l="0" t="0" r="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"/>
    </w:p>
    <w:sectPr w:rsidR="00EC5FAC" w:rsidRPr="00EC5FAC">
      <w:headerReference w:type="defaul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6A7" w:rsidRDefault="006A76A7" w:rsidP="0031428A">
      <w:pPr>
        <w:spacing w:after="0" w:line="240" w:lineRule="auto"/>
      </w:pPr>
      <w:r>
        <w:separator/>
      </w:r>
    </w:p>
  </w:endnote>
  <w:endnote w:type="continuationSeparator" w:id="0">
    <w:p w:rsidR="006A76A7" w:rsidRDefault="006A76A7" w:rsidP="0031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bertus Xb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6A7" w:rsidRDefault="006A76A7" w:rsidP="0031428A">
      <w:pPr>
        <w:spacing w:after="0" w:line="240" w:lineRule="auto"/>
      </w:pPr>
      <w:r>
        <w:separator/>
      </w:r>
    </w:p>
  </w:footnote>
  <w:footnote w:type="continuationSeparator" w:id="0">
    <w:p w:rsidR="006A76A7" w:rsidRDefault="006A76A7" w:rsidP="0031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28A" w:rsidRPr="0031428A" w:rsidRDefault="0031428A" w:rsidP="0031428A">
    <w:pPr>
      <w:autoSpaceDE w:val="0"/>
      <w:autoSpaceDN w:val="0"/>
      <w:adjustRightInd w:val="0"/>
      <w:spacing w:after="0" w:line="240" w:lineRule="auto"/>
      <w:jc w:val="both"/>
      <w:rPr>
        <w:rFonts w:ascii="Verdana" w:eastAsia="Times New Roman" w:hAnsi="Verdana" w:cs="Arial"/>
        <w:color w:val="000000"/>
        <w:sz w:val="14"/>
        <w:szCs w:val="20"/>
        <w:lang w:eastAsia="pt-BR"/>
      </w:rPr>
    </w:pPr>
    <w:r>
      <w:rPr>
        <w:rFonts w:ascii="Verdana" w:eastAsia="Times New Roman" w:hAnsi="Verdana" w:cs="Arial"/>
        <w:b/>
        <w:noProof/>
        <w:sz w:val="14"/>
        <w:szCs w:val="20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5366385</wp:posOffset>
          </wp:positionH>
          <wp:positionV relativeFrom="paragraph">
            <wp:posOffset>2540</wp:posOffset>
          </wp:positionV>
          <wp:extent cx="710565" cy="657225"/>
          <wp:effectExtent l="0" t="0" r="0" b="9525"/>
          <wp:wrapNone/>
          <wp:docPr id="1" name="Imagem 1" descr="Claro Empre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laro Empre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66"/>
                  <a:stretch>
                    <a:fillRect/>
                  </a:stretch>
                </pic:blipFill>
                <pic:spPr bwMode="auto">
                  <a:xfrm>
                    <a:off x="0" y="0"/>
                    <a:ext cx="71056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28A">
      <w:rPr>
        <w:rFonts w:ascii="Verdana" w:eastAsia="Times New Roman" w:hAnsi="Verdana" w:cs="Arial"/>
        <w:b/>
        <w:color w:val="000000"/>
        <w:sz w:val="14"/>
        <w:szCs w:val="20"/>
        <w:lang w:eastAsia="pt-BR"/>
      </w:rPr>
      <w:t>CLARO S/A</w:t>
    </w:r>
  </w:p>
  <w:p w:rsidR="0031428A" w:rsidRPr="0031428A" w:rsidRDefault="0031428A" w:rsidP="0031428A">
    <w:pPr>
      <w:autoSpaceDE w:val="0"/>
      <w:autoSpaceDN w:val="0"/>
      <w:adjustRightInd w:val="0"/>
      <w:spacing w:after="0" w:line="240" w:lineRule="auto"/>
      <w:jc w:val="both"/>
      <w:rPr>
        <w:rFonts w:ascii="Verdana" w:eastAsia="Times New Roman" w:hAnsi="Verdana" w:cs="Arial"/>
        <w:color w:val="000000"/>
        <w:sz w:val="14"/>
        <w:szCs w:val="20"/>
        <w:lang w:eastAsia="pt-BR"/>
      </w:rPr>
    </w:pPr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 xml:space="preserve">Rua Henri </w:t>
    </w:r>
    <w:proofErr w:type="spellStart"/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>Dunant</w:t>
    </w:r>
    <w:proofErr w:type="spellEnd"/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>, 780</w:t>
    </w:r>
  </w:p>
  <w:p w:rsidR="0031428A" w:rsidRPr="0031428A" w:rsidRDefault="0031428A" w:rsidP="0031428A">
    <w:pPr>
      <w:autoSpaceDE w:val="0"/>
      <w:autoSpaceDN w:val="0"/>
      <w:adjustRightInd w:val="0"/>
      <w:spacing w:after="0" w:line="240" w:lineRule="auto"/>
      <w:jc w:val="both"/>
      <w:rPr>
        <w:rFonts w:ascii="Verdana" w:eastAsia="Times New Roman" w:hAnsi="Verdana" w:cs="Arial"/>
        <w:color w:val="000000"/>
        <w:sz w:val="14"/>
        <w:szCs w:val="20"/>
        <w:lang w:eastAsia="pt-BR"/>
      </w:rPr>
    </w:pPr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>Santo Amaro – CEP: 04.709-110</w:t>
    </w:r>
  </w:p>
  <w:p w:rsidR="0031428A" w:rsidRPr="0031428A" w:rsidRDefault="0031428A" w:rsidP="0031428A">
    <w:pPr>
      <w:autoSpaceDE w:val="0"/>
      <w:autoSpaceDN w:val="0"/>
      <w:adjustRightInd w:val="0"/>
      <w:spacing w:after="0" w:line="240" w:lineRule="auto"/>
      <w:jc w:val="both"/>
      <w:rPr>
        <w:rFonts w:ascii="Verdana" w:eastAsia="Times New Roman" w:hAnsi="Verdana" w:cs="Arial"/>
        <w:color w:val="000000"/>
        <w:sz w:val="14"/>
        <w:szCs w:val="20"/>
        <w:lang w:eastAsia="pt-BR"/>
      </w:rPr>
    </w:pPr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 xml:space="preserve">São Paulo, SP </w:t>
    </w:r>
    <w:r w:rsidRPr="0031428A">
      <w:rPr>
        <w:rFonts w:ascii="Verdana" w:eastAsia="Times New Roman" w:hAnsi="Verdana" w:cs="Arial"/>
        <w:noProof/>
        <w:sz w:val="14"/>
        <w:szCs w:val="20"/>
        <w:lang w:eastAsia="pt-BR"/>
      </w:rPr>
      <w:t>– Brasil</w:t>
    </w:r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 xml:space="preserve"> </w:t>
    </w:r>
  </w:p>
  <w:p w:rsidR="0031428A" w:rsidRPr="0031428A" w:rsidRDefault="0031428A" w:rsidP="0031428A">
    <w:pPr>
      <w:autoSpaceDE w:val="0"/>
      <w:autoSpaceDN w:val="0"/>
      <w:adjustRightInd w:val="0"/>
      <w:spacing w:after="0" w:line="240" w:lineRule="auto"/>
      <w:jc w:val="both"/>
      <w:rPr>
        <w:rFonts w:ascii="Verdana" w:eastAsia="Times New Roman" w:hAnsi="Verdana" w:cs="Arial"/>
        <w:color w:val="000000"/>
        <w:sz w:val="14"/>
        <w:szCs w:val="20"/>
        <w:lang w:eastAsia="pt-BR"/>
      </w:rPr>
    </w:pPr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>CNPJ: 40.432.544/0001-47</w:t>
    </w:r>
  </w:p>
  <w:p w:rsidR="0031428A" w:rsidRPr="0031428A" w:rsidRDefault="0031428A" w:rsidP="0031428A">
    <w:pPr>
      <w:autoSpaceDE w:val="0"/>
      <w:autoSpaceDN w:val="0"/>
      <w:adjustRightInd w:val="0"/>
      <w:spacing w:after="0" w:line="240" w:lineRule="auto"/>
      <w:jc w:val="both"/>
      <w:rPr>
        <w:rFonts w:ascii="Verdana" w:eastAsia="Times New Roman" w:hAnsi="Verdana" w:cs="Arial"/>
        <w:color w:val="000000"/>
        <w:sz w:val="14"/>
        <w:szCs w:val="20"/>
        <w:lang w:eastAsia="pt-BR"/>
      </w:rPr>
    </w:pPr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>Inscrição Estadual: 114.814.878.119</w:t>
    </w:r>
  </w:p>
  <w:p w:rsidR="0031428A" w:rsidRPr="0031428A" w:rsidRDefault="0031428A" w:rsidP="0031428A">
    <w:pPr>
      <w:autoSpaceDE w:val="0"/>
      <w:autoSpaceDN w:val="0"/>
      <w:adjustRightInd w:val="0"/>
      <w:spacing w:after="0" w:line="240" w:lineRule="auto"/>
      <w:jc w:val="both"/>
      <w:rPr>
        <w:rFonts w:ascii="Verdana" w:eastAsia="Times New Roman" w:hAnsi="Verdana" w:cs="Arial"/>
        <w:color w:val="000000"/>
        <w:sz w:val="14"/>
        <w:szCs w:val="20"/>
        <w:lang w:eastAsia="pt-BR"/>
      </w:rPr>
    </w:pPr>
    <w:r w:rsidRPr="0031428A">
      <w:rPr>
        <w:rFonts w:ascii="Verdana" w:eastAsia="Times New Roman" w:hAnsi="Verdana" w:cs="Arial"/>
        <w:color w:val="000000"/>
        <w:sz w:val="14"/>
        <w:szCs w:val="20"/>
        <w:lang w:eastAsia="pt-BR"/>
      </w:rPr>
      <w:t>Inscrição Municipal: 2.498.616-0</w:t>
    </w:r>
  </w:p>
  <w:p w:rsidR="0031428A" w:rsidRPr="0031428A" w:rsidRDefault="001B5813" w:rsidP="0031428A">
    <w:pPr>
      <w:autoSpaceDE w:val="0"/>
      <w:autoSpaceDN w:val="0"/>
      <w:adjustRightInd w:val="0"/>
      <w:spacing w:after="0" w:line="240" w:lineRule="auto"/>
      <w:jc w:val="both"/>
      <w:rPr>
        <w:rFonts w:ascii="Verdana" w:eastAsia="Times New Roman" w:hAnsi="Verdana" w:cs="Arial"/>
        <w:sz w:val="14"/>
        <w:szCs w:val="20"/>
        <w:lang w:eastAsia="pt-BR"/>
      </w:rPr>
    </w:pPr>
    <w:hyperlink r:id="rId2" w:history="1">
      <w:r w:rsidR="0031428A" w:rsidRPr="0031428A">
        <w:rPr>
          <w:rFonts w:ascii="Verdana" w:eastAsia="Times New Roman" w:hAnsi="Verdana" w:cs="Arial"/>
          <w:color w:val="0000FF"/>
          <w:sz w:val="14"/>
          <w:szCs w:val="20"/>
          <w:u w:val="single"/>
          <w:lang w:eastAsia="pt-BR"/>
        </w:rPr>
        <w:t>www.claro.com.br</w:t>
      </w:r>
    </w:hyperlink>
  </w:p>
  <w:p w:rsidR="0031428A" w:rsidRDefault="0031428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5476D"/>
    <w:multiLevelType w:val="hybridMultilevel"/>
    <w:tmpl w:val="E04A2682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5F"/>
    <w:rsid w:val="000B198B"/>
    <w:rsid w:val="000D295F"/>
    <w:rsid w:val="000E6DCB"/>
    <w:rsid w:val="001B5813"/>
    <w:rsid w:val="0031428A"/>
    <w:rsid w:val="00360D7C"/>
    <w:rsid w:val="004F6FA5"/>
    <w:rsid w:val="006A76A7"/>
    <w:rsid w:val="00724C44"/>
    <w:rsid w:val="007A4EC8"/>
    <w:rsid w:val="007C2014"/>
    <w:rsid w:val="00AD3435"/>
    <w:rsid w:val="00EC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onnector" idref="#_x0000_s1026"/>
        <o:r id="V:Rule2" type="connector" idref="#_x0000_s1051"/>
      </o:rules>
    </o:shapelayout>
  </w:shapeDefaults>
  <w:decimalSymbol w:val=","/>
  <w:listSeparator w:val=";"/>
  <w15:docId w15:val="{6B103B02-AFBA-4983-858A-8877F9C3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EC5FAC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olor w:val="000080"/>
      <w:sz w:val="20"/>
      <w:szCs w:val="20"/>
    </w:rPr>
  </w:style>
  <w:style w:type="paragraph" w:styleId="Ttulo2">
    <w:name w:val="heading 2"/>
    <w:basedOn w:val="Normal"/>
    <w:next w:val="Normal"/>
    <w:link w:val="Ttulo2Char"/>
    <w:qFormat/>
    <w:rsid w:val="00EC5FAC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142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1428A"/>
  </w:style>
  <w:style w:type="paragraph" w:styleId="Rodap">
    <w:name w:val="footer"/>
    <w:basedOn w:val="Normal"/>
    <w:link w:val="RodapChar"/>
    <w:uiPriority w:val="99"/>
    <w:unhideWhenUsed/>
    <w:rsid w:val="003142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1428A"/>
  </w:style>
  <w:style w:type="character" w:customStyle="1" w:styleId="Ttulo1Char">
    <w:name w:val="Título 1 Char"/>
    <w:basedOn w:val="Fontepargpadro"/>
    <w:link w:val="Ttulo1"/>
    <w:rsid w:val="00EC5FAC"/>
    <w:rPr>
      <w:rFonts w:ascii="Arial" w:eastAsia="Times New Roman" w:hAnsi="Arial" w:cs="Times New Roman"/>
      <w:b/>
      <w:color w:val="000080"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EC5FAC"/>
    <w:rPr>
      <w:rFonts w:ascii="Arial" w:eastAsia="Times New Roman" w:hAnsi="Arial" w:cs="Times New Roman"/>
      <w:b/>
      <w:sz w:val="24"/>
      <w:szCs w:val="20"/>
    </w:rPr>
  </w:style>
  <w:style w:type="paragraph" w:styleId="Corpodetexto">
    <w:name w:val="Body Text"/>
    <w:basedOn w:val="Normal"/>
    <w:link w:val="CorpodetextoChar"/>
    <w:rsid w:val="00EC5FAC"/>
    <w:pPr>
      <w:spacing w:after="0" w:line="240" w:lineRule="auto"/>
    </w:pPr>
    <w:rPr>
      <w:rFonts w:ascii="Arial" w:eastAsia="Times New Roman" w:hAnsi="Arial" w:cs="Times New Roman"/>
      <w:color w:val="FF0000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EC5FAC"/>
    <w:rPr>
      <w:rFonts w:ascii="Arial" w:eastAsia="Times New Roman" w:hAnsi="Arial" w:cs="Times New Roman"/>
      <w:color w:val="FF0000"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EC5FAC"/>
    <w:pPr>
      <w:tabs>
        <w:tab w:val="right" w:pos="1104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EC5FAC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EC5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laro.com.br" TargetMode="External"/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D96E6-FA58-4AE4-8556-C25BA8E65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711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Embratel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 ALVES PEREIRA</dc:creator>
  <cp:lastModifiedBy>ALBANO FREDERICO MARINHO DE O JUNIOR</cp:lastModifiedBy>
  <cp:revision>3</cp:revision>
  <dcterms:created xsi:type="dcterms:W3CDTF">2017-05-15T18:04:00Z</dcterms:created>
  <dcterms:modified xsi:type="dcterms:W3CDTF">2017-05-15T18:05:00Z</dcterms:modified>
</cp:coreProperties>
</file>